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四川南溪徽记食品有限</w:t>
      </w:r>
      <w:r>
        <w:rPr>
          <w:rFonts w:hint="eastAsia" w:ascii="方正小标宋简体" w:eastAsia="方正小标宋简体"/>
          <w:sz w:val="44"/>
          <w:szCs w:val="44"/>
        </w:rPr>
        <w:t>公司</w:t>
      </w:r>
    </w:p>
    <w:p>
      <w:pPr>
        <w:spacing w:after="0"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环境信息公开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一、基础信息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（一）企业名称：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四川南溪徽记食品有限公司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（二）组织机构代码：</w:t>
      </w:r>
      <w:r>
        <w:rPr>
          <w:rFonts w:hint="eastAsia" w:hAnsi="FangSong" w:eastAsia="FangSong" w:cs="FangSong" w:asciiTheme="minorAscii"/>
          <w:b w:val="0"/>
          <w:bCs w:val="0"/>
          <w:sz w:val="30"/>
          <w:szCs w:val="30"/>
          <w:lang w:val="en-US" w:eastAsia="zh-CN"/>
        </w:rPr>
        <w:t>9151150375661500W</w:t>
      </w:r>
    </w:p>
    <w:p>
      <w:pPr>
        <w:spacing w:after="0" w:line="540" w:lineRule="exact"/>
        <w:rPr>
          <w:rFonts w:hint="default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（三）法定代表人：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吕金刚</w:t>
      </w:r>
    </w:p>
    <w:p>
      <w:pPr>
        <w:spacing w:after="0" w:line="540" w:lineRule="exact"/>
        <w:rPr>
          <w:rFonts w:hint="default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（四）生产地址：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四川省宜宾市南溪区九龙工业集中区</w:t>
      </w:r>
    </w:p>
    <w:p>
      <w:pPr>
        <w:spacing w:after="0" w:line="540" w:lineRule="exact"/>
        <w:rPr>
          <w:rFonts w:hint="default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（五）联系方式：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0831-3336610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（六）</w:t>
      </w:r>
      <w:r>
        <w:rPr>
          <w:rFonts w:eastAsia="仿宋_GB2312" w:asciiTheme="minorAscii"/>
          <w:b w:val="0"/>
          <w:bCs w:val="0"/>
          <w:sz w:val="30"/>
          <w:szCs w:val="30"/>
        </w:rPr>
        <w:t>生产经营和管理服务的主要内容</w:t>
      </w:r>
      <w:r>
        <w:rPr>
          <w:rFonts w:hint="eastAsia" w:eastAsia="仿宋_GB2312" w:asciiTheme="minorAscii"/>
          <w:b w:val="0"/>
          <w:bCs w:val="0"/>
          <w:sz w:val="30"/>
          <w:szCs w:val="30"/>
        </w:rPr>
        <w:t>：</w:t>
      </w:r>
      <w:r>
        <w:rPr>
          <w:rFonts w:hint="eastAsia" w:hAnsi="FangSong" w:eastAsia="FangSong" w:cs="FangSong" w:asciiTheme="minorAscii"/>
          <w:b w:val="0"/>
          <w:bCs w:val="0"/>
          <w:sz w:val="30"/>
          <w:szCs w:val="30"/>
          <w:lang w:val="en-US" w:eastAsia="zh-CN"/>
        </w:rPr>
        <w:t>四川南溪徽记食品有限公司主要生产经营：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豆制品(非发酵性豆制品、其他豆制品)生产、销售；蔬菜制品(食用菌制品)(腌渍食用菌)生产、销售；粮食收购。自营出口业务(国家限制的或禁止的食品技术除外)(依法须经批准的项目经相关部门批准后方可开展经营活动)。</w:t>
      </w:r>
    </w:p>
    <w:p>
      <w:pPr>
        <w:spacing w:after="0" w:line="540" w:lineRule="exact"/>
        <w:rPr>
          <w:rFonts w:hint="default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（七）产品及规模：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公司具有年生产2万吨的设计生产能力，现生产能力近万吨及包装。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年产量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为7236.16吨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二、排污信息</w:t>
      </w:r>
    </w:p>
    <w:p>
      <w:pPr>
        <w:spacing w:after="0" w:line="540" w:lineRule="exact"/>
        <w:rPr>
          <w:rFonts w:hint="default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（一）主要污染物及特征污染物名称：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COD、氨氮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（二）排放方式：</w:t>
      </w:r>
    </w:p>
    <w:p>
      <w:pPr>
        <w:spacing w:after="0" w:line="540" w:lineRule="exact"/>
        <w:ind w:firstLine="600" w:firstLineChars="200"/>
        <w:rPr>
          <w:rFonts w:hint="default" w:eastAsia="仿宋_GB2312" w:asciiTheme="minorAscii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间排，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经处理达标后进入园区工业污水处理站集中处理。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（三）排放口数量和分布情况：</w:t>
      </w:r>
    </w:p>
    <w:p>
      <w:pPr>
        <w:spacing w:after="0" w:line="540" w:lineRule="exact"/>
        <w:ind w:firstLine="600" w:firstLineChars="200"/>
        <w:rPr>
          <w:rFonts w:hint="default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废水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排放口:1个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、废气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排放口：无（锅炉已经拆除）</w:t>
      </w:r>
    </w:p>
    <w:p>
      <w:pPr>
        <w:numPr>
          <w:ilvl w:val="0"/>
          <w:numId w:val="1"/>
        </w:numPr>
        <w:spacing w:after="0" w:line="540" w:lineRule="exact"/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排放浓度和总量：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年各污染物指标排放的浓度和总量。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COD:浓度：47.38（毫克/每升）总量：12.94（吨）</w:t>
      </w:r>
    </w:p>
    <w:p>
      <w:pPr>
        <w:numPr>
          <w:ilvl w:val="0"/>
          <w:numId w:val="0"/>
        </w:numPr>
        <w:spacing w:after="0" w:line="540" w:lineRule="exact"/>
        <w:rPr>
          <w:rFonts w:hint="default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氨氮：浓度：46.15（毫克/每升）总量：12.96（吨）</w:t>
      </w:r>
    </w:p>
    <w:p>
      <w:pPr>
        <w:numPr>
          <w:ilvl w:val="0"/>
          <w:numId w:val="1"/>
        </w:numPr>
        <w:spacing w:after="0" w:line="540" w:lineRule="exact"/>
        <w:ind w:left="0" w:leftChars="0" w:firstLine="0" w:firstLineChars="0"/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超标情况：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无超标排放</w:t>
      </w:r>
    </w:p>
    <w:p>
      <w:pPr>
        <w:numPr>
          <w:ilvl w:val="0"/>
          <w:numId w:val="1"/>
        </w:numPr>
        <w:spacing w:after="0" w:line="540" w:lineRule="exact"/>
        <w:ind w:left="0" w:leftChars="0" w:firstLine="0" w:firstLineChars="0"/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执行的污染物排放标准：</w:t>
      </w:r>
      <w:r>
        <w:rPr>
          <w:rFonts w:hint="eastAsia" w:eastAsia="仿宋_GB2312" w:asciiTheme="minorAscii"/>
          <w:b w:val="0"/>
          <w:bCs w:val="0"/>
          <w:sz w:val="30"/>
          <w:szCs w:val="30"/>
          <w:lang w:val="en-US" w:eastAsia="zh-CN"/>
        </w:rPr>
        <w:t>污水排放标准为《污水综合排放标准》（GB8979-1996）的三级排放标准。</w:t>
      </w:r>
    </w:p>
    <w:p>
      <w:pPr>
        <w:numPr>
          <w:ilvl w:val="0"/>
          <w:numId w:val="0"/>
        </w:numPr>
        <w:spacing w:after="0" w:line="540" w:lineRule="exact"/>
        <w:ind w:leftChars="0"/>
        <w:rPr>
          <w:rFonts w:hint="eastAsia" w:eastAsia="仿宋_GB2312" w:asciiTheme="minorAscii"/>
          <w:b w:val="0"/>
          <w:bCs w:val="0"/>
          <w:color w:val="FF000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（七）核定的排放总量：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三、防治污染设施的建设和运行情况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（一）废气治理设施：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无（锅炉已拆除无废气产生源）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（二）废水治理设施：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废水污染防治设施简介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00" w:firstLineChars="200"/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</w:pP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我公司废水处理站1个，设计处理废水量每天1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00立方左右、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实际每天800立方左右，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处理的运行工艺为；格栅→调节池→初沉池→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气浮机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→集水井→厌氧处理→兼氧池→好氧处理→二沉池→絮凝沉淀池。生产废水自流至固液分离装置（格栅）进行初步分离，去除固体物残渣，而滤液经过自流进入调节池调节，降解部分有机物和进行PH值的调节，通过水泵进入初沉池→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气浮机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进行小颗粒固体废物和悬浮物分离，自流至集水井，用水泵进入厌氧系统进行厌氧消化，有效地降低废水的有机物，厌氧后的水直接自流至兼氧池，在通过自流进入好氧处理，进行脱氮除磷，同时进一步降低有机物、好氧出水经过自流进入二沉池，二沉池通过自流进入絮凝沉淀池处理，添加化学药剂进行絮凝沉淀，较大程度地降低废水中的悬浮物和总磷，以上所述处理措施后，各污染物指标显著降低，以满足国家环保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00" w:firstLineChars="200"/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（三）固废防治设施：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主要是豆渣、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污泥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。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豆渣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交当地农户喂猪养鱼；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污水处理站污泥拉到龙发环保一般固废填埋场填埋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等。</w:t>
      </w:r>
      <w:r>
        <w:rPr>
          <w:rFonts w:hint="eastAsia" w:hAnsi="FangSong" w:eastAsia="FangSong" w:cs="FangSong" w:asciiTheme="minorAscii"/>
          <w:b w:val="0"/>
          <w:bCs w:val="0"/>
          <w:color w:val="000000"/>
          <w:sz w:val="30"/>
          <w:szCs w:val="30"/>
          <w:lang w:val="en-US" w:eastAsia="zh-CN"/>
        </w:rPr>
        <w:t>（附：处置合同）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00" w:firstLineChars="200"/>
        <w:rPr>
          <w:rFonts w:hint="default" w:hAnsi="FangSong" w:eastAsia="FangSong" w:cs="FangSong" w:asciiTheme="minorAscii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（四）危废防治设施：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主要是在线监测设备的废液、我公司按规定建设有危废暂存间、和</w:t>
      </w:r>
      <w:r>
        <w:rPr>
          <w:rFonts w:hint="eastAsia" w:hAnsi="FangSong" w:eastAsia="FangSong" w:cs="FangSong" w:asciiTheme="minorAscii"/>
          <w:b w:val="0"/>
          <w:bCs w:val="0"/>
          <w:color w:val="000000"/>
          <w:sz w:val="30"/>
          <w:szCs w:val="30"/>
        </w:rPr>
        <w:t>四川省中明环境治理有限公司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  <w:lang w:val="en-US" w:eastAsia="zh-CN"/>
        </w:rPr>
        <w:t>签订</w:t>
      </w:r>
      <w:r>
        <w:rPr>
          <w:rFonts w:hint="eastAsia" w:hAnsi="FangSong" w:eastAsia="FangSong" w:cs="FangSong" w:asciiTheme="minorAscii"/>
          <w:b w:val="0"/>
          <w:bCs w:val="0"/>
          <w:sz w:val="30"/>
          <w:szCs w:val="30"/>
        </w:rPr>
        <w:t>危险废物安全处置委托议</w:t>
      </w:r>
      <w:r>
        <w:rPr>
          <w:rFonts w:hint="eastAsia" w:hAnsi="FangSong" w:eastAsia="FangSong" w:cs="FangSong" w:asciiTheme="minorAscii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hAnsi="FangSong" w:eastAsia="FangSong" w:cs="FangSong" w:asciiTheme="minorAscii"/>
          <w:b w:val="0"/>
          <w:bCs w:val="0"/>
          <w:sz w:val="30"/>
          <w:szCs w:val="30"/>
          <w:lang w:val="en-US" w:eastAsia="zh-CN"/>
        </w:rPr>
        <w:t>危废由</w:t>
      </w:r>
      <w:r>
        <w:rPr>
          <w:rFonts w:hint="eastAsia" w:hAnsi="FangSong" w:eastAsia="FangSong" w:cs="FangSong" w:asciiTheme="minorAscii"/>
          <w:b w:val="0"/>
          <w:bCs w:val="0"/>
          <w:color w:val="000000"/>
          <w:sz w:val="30"/>
          <w:szCs w:val="30"/>
        </w:rPr>
        <w:t>四川省中明环境治理有限公司</w:t>
      </w:r>
      <w:r>
        <w:rPr>
          <w:rFonts w:hint="eastAsia" w:hAnsi="FangSong" w:eastAsia="FangSong" w:cs="FangSong" w:asciiTheme="minorAscii"/>
          <w:b w:val="0"/>
          <w:bCs w:val="0"/>
          <w:color w:val="000000"/>
          <w:sz w:val="30"/>
          <w:szCs w:val="30"/>
          <w:lang w:val="en-US" w:eastAsia="zh-CN"/>
        </w:rPr>
        <w:t>处理。（附：处置合同）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color w:val="FF000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（五）噪声防治设施：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车间和办公区域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以安装隔音门</w:t>
      </w:r>
      <w:r>
        <w:rPr>
          <w:rFonts w:hint="eastAsia" w:hAnsi="FangSong" w:eastAsia="FangSong" w:cs="FangSong" w:asciiTheme="minorAscii"/>
          <w:b w:val="0"/>
          <w:bCs w:val="0"/>
          <w:i w:val="0"/>
          <w:caps w:val="0"/>
          <w:color w:val="2E2E2E"/>
          <w:spacing w:val="0"/>
          <w:sz w:val="30"/>
          <w:szCs w:val="30"/>
          <w:shd w:val="clear" w:color="auto" w:fill="FFFFFF"/>
        </w:rPr>
        <w:t>、窗、减振垫等，对周边影响较小</w:t>
      </w:r>
      <w:r>
        <w:rPr>
          <w:rFonts w:hint="eastAsia" w:hAnsi="FangSong" w:eastAsia="FangSong" w:cs="FangSong" w:asciiTheme="minorAscii"/>
          <w:b w:val="0"/>
          <w:bCs w:val="0"/>
          <w:color w:val="000000"/>
          <w:sz w:val="30"/>
          <w:szCs w:val="30"/>
          <w:lang w:val="en-US" w:eastAsia="zh-CN"/>
        </w:rPr>
        <w:t>（附：检验报告）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四、建设项目环境影响评价及其他环境保护许可证情况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color w:val="FF000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我公司《建设项目环境影响评价》由具有从事环境影响评价资质单位编制、由评审专家经过评审、由环境监测站出具监测报告进行验收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（附环评封面、专家意见、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环评批复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五、突发环境事件应急预案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color w:val="FF000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依据《环境污染事故应急预案》相关要求，特制订《四川南溪徽记食品有限公司突发环境事件应急预案》明确了产生环境污染事件的危险性、保障措施、预防和预警、应急响应及救援措施、应急监测等，</w:t>
      </w:r>
      <w:r>
        <w:rPr>
          <w:rFonts w:hint="eastAsia" w:eastAsia="仿宋_GB2312" w:asciiTheme="minorAscii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（附封面、专家意见、备案表图片）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六、其他应当公开的环境信息</w:t>
      </w:r>
    </w:p>
    <w:p>
      <w:pPr>
        <w:spacing w:after="0" w:line="540" w:lineRule="exact"/>
        <w:rPr>
          <w:rFonts w:hint="eastAsia" w:eastAsia="仿宋_GB2312" w:asciiTheme="minorAscii"/>
          <w:b w:val="0"/>
          <w:bCs w:val="0"/>
          <w:sz w:val="30"/>
          <w:szCs w:val="30"/>
        </w:rPr>
      </w:pPr>
      <w:r>
        <w:rPr>
          <w:rFonts w:hint="eastAsia" w:eastAsia="仿宋_GB2312" w:asciiTheme="minorAscii"/>
          <w:b w:val="0"/>
          <w:bCs w:val="0"/>
          <w:sz w:val="30"/>
          <w:szCs w:val="30"/>
        </w:rPr>
        <w:t>七、自行监测方案</w:t>
      </w:r>
    </w:p>
    <w:p>
      <w:pPr>
        <w:spacing w:beforeLines="50" w:afterLines="50" w:line="400" w:lineRule="exact"/>
        <w:rPr>
          <w:rFonts w:ascii="FangSong" w:hAnsi="FangSong" w:eastAsia="FangSong"/>
          <w:sz w:val="32"/>
          <w:szCs w:val="32"/>
        </w:rPr>
      </w:pPr>
      <w:r>
        <w:rPr>
          <w:rFonts w:hint="eastAsia" w:ascii="SimHei" w:hAnsi="SimHei" w:eastAsia="SimHei"/>
          <w:b/>
          <w:sz w:val="32"/>
          <w:szCs w:val="32"/>
        </w:rPr>
        <w:t>（一）企业基本情况</w:t>
      </w:r>
    </w:p>
    <w:tbl>
      <w:tblPr>
        <w:tblStyle w:val="3"/>
        <w:tblW w:w="874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401"/>
        <w:gridCol w:w="770"/>
        <w:gridCol w:w="284"/>
        <w:gridCol w:w="1050"/>
        <w:gridCol w:w="1562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企业名称</w:t>
            </w:r>
          </w:p>
        </w:tc>
        <w:tc>
          <w:tcPr>
            <w:tcW w:w="3505" w:type="dxa"/>
            <w:gridSpan w:val="4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四川南溪徽记食品有限公司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法人代表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吕金刚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地址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四川省宜宾市南溪区九龙工业集中区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地理位置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经度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105度0分51.37199999998643秒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纬度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28度50分29.759999999998854秒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Merge w:val="restart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联系人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hint="eastAsia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袁万科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联系</w:t>
            </w:r>
          </w:p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方式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电话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13684167969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Email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所属行业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食品制造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污染源类别</w:t>
            </w:r>
            <w:r>
              <w:rPr>
                <w:rFonts w:ascii="SimSun" w:hAnsi="SimSu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jc w:val="center"/>
              <w:rPr>
                <w:rFonts w:hint="eastAsia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废水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生产周期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72小时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自行监测开展</w:t>
            </w:r>
          </w:p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技术手段</w:t>
            </w:r>
            <w:r>
              <w:rPr>
                <w:rFonts w:ascii="SimSun" w:hAnsi="SimSu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自有人员、自有场所、自有设备开展自行监测，</w:t>
            </w:r>
            <w:r>
              <w:rPr>
                <w:rFonts w:hint="eastAsia" w:ascii="Microsoft JhengHei" w:hAnsi="Microsoft JhengHei" w:eastAsia="Microsoft JhengHei" w:cs="Microsoft JhengHei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同时</w:t>
            </w:r>
            <w:r>
              <w:rPr>
                <w:rFonts w:hint="eastAsia" w:ascii="Microsoft JhengHei" w:hAnsi="Microsoft JhengHei" w:eastAsia="Microsoft JhengHei" w:cs="Microsoft JhengHei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委托其他检(监)测机构代其开展自行监测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44" w:type="dxa"/>
            <w:vMerge w:val="restart"/>
            <w:vAlign w:val="center"/>
          </w:tcPr>
          <w:p>
            <w:pPr>
              <w:jc w:val="center"/>
              <w:rPr>
                <w:rFonts w:hint="eastAsia" w:ascii="SimSun" w:hAns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自行监测</w:t>
            </w:r>
          </w:p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开展项目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自动监测项目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COD、氨氮、总磷、总氮、PH值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手工监测项目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jc w:val="center"/>
              <w:rPr>
                <w:rFonts w:hint="default" w:ascii="SimSun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悬浮物、色度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44" w:type="dxa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自行监测</w:t>
            </w:r>
          </w:p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开展方式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SimSun"/>
                <w:sz w:val="18"/>
                <w:szCs w:val="18"/>
              </w:rPr>
            </w:pPr>
            <w:r>
              <w:rPr>
                <w:rFonts w:hint="eastAsia" w:ascii="SimSun" w:hAnsi="SimSun"/>
                <w:sz w:val="18"/>
                <w:szCs w:val="18"/>
              </w:rPr>
              <w:t>委托监测</w:t>
            </w:r>
            <w:r>
              <w:rPr>
                <w:rFonts w:ascii="SimSun" w:hAnsi="SimSu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jc w:val="center"/>
              <w:rPr>
                <w:rFonts w:hint="default" w:ascii="SimSun"/>
                <w:sz w:val="18"/>
                <w:szCs w:val="18"/>
                <w:lang w:val="en-US"/>
              </w:rPr>
            </w:pPr>
            <w:r>
              <w:rPr>
                <w:rFonts w:hint="eastAsia" w:ascii="SimSun"/>
                <w:sz w:val="18"/>
                <w:szCs w:val="18"/>
                <w:lang w:val="en-US" w:eastAsia="zh-CN"/>
              </w:rPr>
              <w:t>动植物油、BOD、噪声</w:t>
            </w:r>
          </w:p>
        </w:tc>
      </w:tr>
    </w:tbl>
    <w:p>
      <w:pPr>
        <w:spacing w:line="380" w:lineRule="exact"/>
        <w:rPr>
          <w:rFonts w:ascii="SimHei" w:hAnsi="SimHei" w:eastAsia="SimHei"/>
          <w:b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numPr>
          <w:ilvl w:val="0"/>
          <w:numId w:val="2"/>
        </w:numPr>
        <w:spacing w:line="380" w:lineRule="exact"/>
        <w:ind w:firstLine="643" w:firstLineChars="200"/>
        <w:rPr>
          <w:rFonts w:hint="eastAsia" w:ascii="SimHei" w:hAnsi="SimHei" w:eastAsia="SimHei"/>
          <w:b/>
          <w:sz w:val="32"/>
          <w:szCs w:val="32"/>
        </w:rPr>
      </w:pPr>
      <w:r>
        <w:rPr>
          <w:rFonts w:hint="eastAsia" w:ascii="SimHei" w:hAnsi="SimHei" w:eastAsia="SimHei"/>
          <w:b/>
          <w:sz w:val="32"/>
          <w:szCs w:val="32"/>
        </w:rPr>
        <w:t>监测内容</w:t>
      </w:r>
    </w:p>
    <w:tbl>
      <w:tblPr>
        <w:tblStyle w:val="3"/>
        <w:tblW w:w="16091" w:type="dxa"/>
        <w:tblInd w:w="-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62"/>
        <w:gridCol w:w="1304"/>
        <w:gridCol w:w="1827"/>
        <w:gridCol w:w="2350"/>
        <w:gridCol w:w="1250"/>
        <w:gridCol w:w="1788"/>
        <w:gridCol w:w="1762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42" w:firstLineChars="200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监测项目</w:t>
            </w:r>
          </w:p>
          <w:p>
            <w:pPr>
              <w:spacing w:line="320" w:lineRule="exact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监测内容</w:t>
            </w:r>
          </w:p>
        </w:tc>
        <w:tc>
          <w:tcPr>
            <w:tcW w:w="130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监测点位</w:t>
            </w:r>
          </w:p>
        </w:tc>
        <w:tc>
          <w:tcPr>
            <w:tcW w:w="182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自动监测频次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执行排放标准</w:t>
            </w:r>
          </w:p>
        </w:tc>
        <w:tc>
          <w:tcPr>
            <w:tcW w:w="125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16" w:leftChars="-61" w:right="-103" w:rightChars="-47" w:hanging="18" w:hangingChars="8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标准限值</w:t>
            </w:r>
          </w:p>
        </w:tc>
        <w:tc>
          <w:tcPr>
            <w:tcW w:w="17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16" w:leftChars="-61" w:right="-103" w:rightChars="-47" w:hanging="18" w:hangingChars="8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监测方法</w:t>
            </w:r>
          </w:p>
        </w:tc>
        <w:tc>
          <w:tcPr>
            <w:tcW w:w="176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16" w:leftChars="-61" w:right="-103" w:rightChars="-47" w:hanging="18" w:hangingChars="8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分析仪器</w:t>
            </w:r>
          </w:p>
        </w:tc>
        <w:tc>
          <w:tcPr>
            <w:tcW w:w="300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16" w:leftChars="-61" w:right="-103" w:rightChars="-47" w:hanging="18" w:hangingChars="8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手工监测频次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bCs/>
                <w:sz w:val="24"/>
              </w:rPr>
            </w:pPr>
            <w:r>
              <w:rPr>
                <w:rFonts w:hint="eastAsia" w:ascii="SimHei" w:hAnsi="SimHei" w:eastAsia="SimHei"/>
                <w:b/>
                <w:bCs/>
                <w:sz w:val="24"/>
              </w:rPr>
              <w:t>监</w:t>
            </w:r>
          </w:p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bCs/>
                <w:sz w:val="24"/>
              </w:rPr>
            </w:pPr>
            <w:r>
              <w:rPr>
                <w:rFonts w:hint="eastAsia" w:ascii="SimHei" w:hAnsi="SimHei" w:eastAsia="SimHei"/>
                <w:b/>
                <w:bCs/>
                <w:sz w:val="24"/>
              </w:rPr>
              <w:t>测</w:t>
            </w:r>
          </w:p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bCs/>
                <w:sz w:val="24"/>
              </w:rPr>
            </w:pPr>
            <w:r>
              <w:rPr>
                <w:rFonts w:hint="eastAsia" w:ascii="SimHei" w:hAnsi="SimHei" w:eastAsia="SimHei"/>
                <w:b/>
                <w:bCs/>
                <w:sz w:val="24"/>
              </w:rPr>
              <w:t>指</w:t>
            </w:r>
          </w:p>
          <w:p>
            <w:pPr>
              <w:spacing w:line="320" w:lineRule="exact"/>
              <w:jc w:val="center"/>
              <w:rPr>
                <w:rFonts w:ascii="SimHei" w:hAnsi="SimHei" w:eastAsia="SimHei"/>
                <w:b/>
                <w:bCs/>
                <w:sz w:val="24"/>
              </w:rPr>
            </w:pPr>
            <w:r>
              <w:rPr>
                <w:rFonts w:hint="eastAsia" w:ascii="SimHei" w:hAnsi="SimHei" w:eastAsia="SimHei"/>
                <w:b/>
                <w:bCs/>
                <w:sz w:val="24"/>
              </w:rPr>
              <w:t>标</w:t>
            </w:r>
          </w:p>
          <w:p>
            <w:pPr>
              <w:spacing w:line="32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COD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自动检测每隔2小时一次全天12次监测</w:t>
            </w:r>
          </w:p>
        </w:tc>
        <w:tc>
          <w:tcPr>
            <w:tcW w:w="23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污水综合排放标准《GB8978-1996》表四中的三级标准</w:t>
            </w:r>
          </w:p>
        </w:tc>
        <w:tc>
          <w:tcPr>
            <w:tcW w:w="12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≤500mg/l</w:t>
            </w:r>
          </w:p>
        </w:tc>
        <w:tc>
          <w:tcPr>
            <w:tcW w:w="17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重铬酸钾法</w:t>
            </w:r>
          </w:p>
        </w:tc>
        <w:tc>
          <w:tcPr>
            <w:tcW w:w="17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自动监测为COD在线分析仪</w:t>
            </w:r>
          </w:p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氨氮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自动检测每隔2小时一次全天12次监测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纳氏试剂分光法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自动监测为氨氮在线分析仪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总磷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自动检测每隔2小时一次全天12次监测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≤8mg/l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自动监测为总氮在线分析仪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总氮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自动检测每隔2小时一次全天12次监测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自动监测为总磷在线分析仪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tabs>
                <w:tab w:val="left" w:pos="365"/>
                <w:tab w:val="center" w:pos="1332"/>
              </w:tabs>
              <w:spacing w:line="320" w:lineRule="exact"/>
              <w:ind w:right="-1778" w:rightChars="-808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PH值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B OD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自动检测每隔2小时一次全天12次监测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SimSun" w:hAnsi="SimSun" w:cs="SimSun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tabs>
                <w:tab w:val="left" w:pos="434"/>
                <w:tab w:val="center" w:pos="1331"/>
              </w:tabs>
              <w:spacing w:line="320" w:lineRule="exact"/>
              <w:ind w:right="-1778" w:rightChars="-808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―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比色法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量筒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每月一次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cs="SimSun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≤400mg/l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手工监测</w:t>
            </w:r>
            <w:r>
              <w:rPr>
                <w:sz w:val="18"/>
                <w:szCs w:val="18"/>
              </w:rPr>
              <w:t>重量法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电子天平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每月一次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365"/>
                <w:tab w:val="center" w:pos="1332"/>
              </w:tabs>
              <w:spacing w:line="320" w:lineRule="exact"/>
              <w:ind w:right="-1778" w:rightChars="-808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BOD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B OD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手工监测</w:t>
            </w:r>
          </w:p>
        </w:tc>
        <w:tc>
          <w:tcPr>
            <w:tcW w:w="23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≤300mg/l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稀释与接种法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生化培养箱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委托检测/每月一次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动植物油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厂区出水口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手工监测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imSun" w:hAnsi="SimSun" w:cs="SimSun"/>
                <w:sz w:val="18"/>
                <w:szCs w:val="18"/>
              </w:rPr>
              <w:t>≤100mg/l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分光测油仪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tabs>
                <w:tab w:val="left" w:pos="238"/>
              </w:tabs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委托检测/每月一次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污染物排放方式</w:t>
            </w:r>
          </w:p>
          <w:p>
            <w:pPr>
              <w:spacing w:line="320" w:lineRule="exact"/>
              <w:jc w:val="center"/>
              <w:rPr>
                <w:rFonts w:hint="eastAsia"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及排放去向</w:t>
            </w:r>
          </w:p>
        </w:tc>
        <w:tc>
          <w:tcPr>
            <w:tcW w:w="13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hint="eastAsia" w:eastAsia="仿宋_GB2312" w:asciiTheme="minorAscii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经处理达标后进入园区工业污水处理站集中处理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监测质量控制</w:t>
            </w:r>
          </w:p>
        </w:tc>
        <w:tc>
          <w:tcPr>
            <w:tcW w:w="13288" w:type="dxa"/>
            <w:gridSpan w:val="7"/>
            <w:noWrap w:val="0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rFonts w:hint="eastAsia" w:ascii="Microsoft YaHei" w:hAnsi="Microsoft YaHei" w:eastAsia="Microsoft YaHei" w:cs="Microsoft YaHe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SimHei"/>
                <w:b/>
                <w:szCs w:val="21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监测结果</w:t>
            </w:r>
          </w:p>
          <w:p>
            <w:pPr>
              <w:spacing w:line="380" w:lineRule="exact"/>
              <w:jc w:val="center"/>
              <w:rPr>
                <w:rFonts w:hint="eastAsia"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公开时限</w:t>
            </w:r>
          </w:p>
        </w:tc>
        <w:tc>
          <w:tcPr>
            <w:tcW w:w="13288" w:type="dxa"/>
            <w:gridSpan w:val="7"/>
            <w:noWrap w:val="0"/>
            <w:vAlign w:val="top"/>
          </w:tcPr>
          <w:p>
            <w:pPr>
              <w:numPr>
                <w:numId w:val="0"/>
              </w:numPr>
              <w:spacing w:before="62" w:beforeLines="20" w:after="62" w:afterLines="20"/>
              <w:ind w:leftChars="0"/>
              <w:jc w:val="center"/>
              <w:rPr>
                <w:rFonts w:hint="eastAsia"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hint="eastAsia" w:ascii="Microsoft YaHei" w:hAnsi="Microsoft YaHei" w:cs="Microsoft YaHei"/>
                <w:sz w:val="22"/>
                <w:szCs w:val="22"/>
                <w:lang w:val="en-US" w:eastAsia="zh-CN"/>
              </w:rPr>
              <w:t>2020年</w:t>
            </w:r>
          </w:p>
        </w:tc>
      </w:tr>
    </w:tbl>
    <w:p>
      <w:pPr>
        <w:numPr>
          <w:ilvl w:val="0"/>
          <w:numId w:val="0"/>
        </w:numPr>
        <w:spacing w:line="380" w:lineRule="exact"/>
        <w:rPr>
          <w:rFonts w:hint="eastAsia" w:ascii="SimHei" w:hAnsi="SimHei" w:eastAsia="SimHei"/>
          <w:b/>
          <w:sz w:val="32"/>
          <w:szCs w:val="32"/>
        </w:rPr>
      </w:pPr>
    </w:p>
    <w:p>
      <w:pPr>
        <w:spacing w:after="0" w:line="54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SimHe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30B19C"/>
    <w:multiLevelType w:val="singleLevel"/>
    <w:tmpl w:val="A630B19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3C9FD0"/>
    <w:multiLevelType w:val="singleLevel"/>
    <w:tmpl w:val="463C9F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1765"/>
    <w:rsid w:val="00065C90"/>
    <w:rsid w:val="00143A28"/>
    <w:rsid w:val="00323B43"/>
    <w:rsid w:val="003D37D8"/>
    <w:rsid w:val="00426133"/>
    <w:rsid w:val="004358AB"/>
    <w:rsid w:val="0044319A"/>
    <w:rsid w:val="00461A0C"/>
    <w:rsid w:val="005024DB"/>
    <w:rsid w:val="00763C8D"/>
    <w:rsid w:val="008B7726"/>
    <w:rsid w:val="009156E9"/>
    <w:rsid w:val="00A177A2"/>
    <w:rsid w:val="00BB7297"/>
    <w:rsid w:val="00C45239"/>
    <w:rsid w:val="00D31D50"/>
    <w:rsid w:val="00DB6CDD"/>
    <w:rsid w:val="12F33B50"/>
    <w:rsid w:val="1F7835F3"/>
    <w:rsid w:val="38C65798"/>
    <w:rsid w:val="38EE5897"/>
    <w:rsid w:val="58E837BD"/>
    <w:rsid w:val="60C84008"/>
    <w:rsid w:val="63B11E2B"/>
    <w:rsid w:val="71D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</Words>
  <Characters>798</Characters>
  <Lines>6</Lines>
  <Paragraphs>1</Paragraphs>
  <TotalTime>312</TotalTime>
  <ScaleCrop>false</ScaleCrop>
  <LinksUpToDate>false</LinksUpToDate>
  <CharactersWithSpaces>937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2020-06-12T08:20:10Z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